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8" w:rsidRPr="003F4715" w:rsidRDefault="002B2FE8" w:rsidP="002B2F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2B2FE8" w:rsidRPr="003F4715" w:rsidRDefault="002B2FE8" w:rsidP="002B2F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«Уголовный процесс»</w:t>
      </w:r>
    </w:p>
    <w:p w:rsidR="002B2FE8" w:rsidRPr="003F4715" w:rsidRDefault="002B2FE8" w:rsidP="002B2FE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CellSpacing w:w="1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8640"/>
      </w:tblGrid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Целью освоения дисциплины «Уголовный процесс» является освоение порядка осуществления уголовно-процессуальной деятельности компетентных государственных органов по выявлению преступлений, возбуждению, расследованию, судебному рассмотрению и разрешению уголовных дел, направленной  на защиту прав и законных интересов потерпевших от преступлений, привлечение к уголовной ответственности лиц, виновных в совершении преступных деяний, осуществление правосудия по уголовным делам. </w:t>
            </w:r>
          </w:p>
        </w:tc>
      </w:tr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ind w:left="155" w:right="140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Дисциплина «Уголовный процесс» относится к базовой части (Б1.Б.20) учебного плана направлению подготовки  40.03.01 Юриспруденция.</w:t>
            </w:r>
          </w:p>
        </w:tc>
      </w:tr>
      <w:tr w:rsidR="002B2FE8" w:rsidRPr="003F4715" w:rsidTr="006F67EA">
        <w:trPr>
          <w:trHeight w:val="688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выпускник должен обладать следующими компетенциями: 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right="140" w:firstLine="180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способностью соблюдать законодательство РФ, в том числе Конституцию России, федеральные законы,  а также общепризнанные принципы, нормы международного права и международные договоры Российской Федерации (ОПК-1)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юридически правильно квалифицировать факты и обстоятельства (ПК-6)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140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владеть навыками подготовки юридических документов (ПК-7)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firstLine="31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- выявлять, пресекать, раскрывать и расследовать преступления и иные правонарушения (ПК-10)</w:t>
            </w:r>
          </w:p>
        </w:tc>
      </w:tr>
      <w:tr w:rsidR="002B2FE8" w:rsidRPr="003F4715" w:rsidTr="006F67EA">
        <w:trPr>
          <w:trHeight w:val="508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61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должен: 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firstLine="18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Знать: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сущность уголовно-процессуального закона, роль различных источников уголовно-процессуального права в системе уголовно-процессуального законодательства;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firstLine="180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правовое положение участников уголовного судопроизводства; теоретические и законодательные основы доказывания в уголовном судопроизводстве, основы соответствующей практической деятельности; сущность и процессуальный порядок деятельности на досудебных и судебных стадиях уголовного процесса и отдельных процессуальных производствах.</w:t>
            </w:r>
          </w:p>
          <w:p w:rsidR="002B2FE8" w:rsidRPr="003F4715" w:rsidRDefault="002B2FE8" w:rsidP="006F67EA">
            <w:pPr>
              <w:tabs>
                <w:tab w:val="left" w:pos="335"/>
                <w:tab w:val="left" w:pos="8270"/>
              </w:tabs>
              <w:spacing w:after="0" w:line="240" w:lineRule="auto"/>
              <w:ind w:left="155" w:right="61" w:firstLine="180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ru-RU"/>
              </w:rPr>
              <w:t> 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анализировать уголовно-процессуальный закон и  применять его  к конкретным ситуациям; использовать полученные теоретические знания при производстве следственной и судебной деятельности; анализировать причины и условия, способствующие совершению преступления; формулировать предложения по совершенствованию норм уголовно-процессуального законодательства и практики их применения.</w:t>
            </w:r>
          </w:p>
          <w:p w:rsidR="002B2FE8" w:rsidRPr="003F4715" w:rsidRDefault="002B2FE8" w:rsidP="006F67EA">
            <w:pPr>
              <w:tabs>
                <w:tab w:val="left" w:pos="8270"/>
              </w:tabs>
              <w:spacing w:after="0" w:line="240" w:lineRule="auto"/>
              <w:ind w:left="155" w:firstLine="158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color w:val="0000FF"/>
                <w:lang w:eastAsia="ru-RU"/>
              </w:rPr>
              <w:t>: 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навыками принятия решений по уголовным делам  и составления различных уголовно-процессуальных документов; умением работы с правовыми актами, регламентирующими уголовно-процессуальную деятельность; навыками производства следственных и судебных действий.</w:t>
            </w:r>
          </w:p>
        </w:tc>
      </w:tr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ind w:right="-20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8595" w:type="dxa"/>
            <w:vAlign w:val="center"/>
          </w:tcPr>
          <w:p w:rsidR="002B2FE8" w:rsidRPr="000E19E2" w:rsidRDefault="002B2FE8" w:rsidP="006F67EA">
            <w:pPr>
              <w:pStyle w:val="a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0E19E2">
              <w:rPr>
                <w:sz w:val="22"/>
              </w:rPr>
              <w:t>Раздел 1  ОБЩИЕ ПОЛОЖЕНИЯ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Понятие, сущность и назначение (задачи) российского уголовного процесса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 xml:space="preserve">Российское уголовно-процессуальное законодательство 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Принципы уголовного судопроизводства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Участники уголовного процесса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Уголовное преследование и реабилитация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lastRenderedPageBreak/>
              <w:t>Гражданский иск в уголовном процессе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Доказательства  и доказывание в уголовном  процессе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Меры уголовно-процессуального принуждения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 xml:space="preserve"> Ходатайства и жалобы.</w:t>
            </w:r>
          </w:p>
          <w:p w:rsidR="002B2FE8" w:rsidRPr="000E19E2" w:rsidRDefault="002B2FE8" w:rsidP="006F67EA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Процессуальные сроки. Процессуальные издержки.</w:t>
            </w:r>
          </w:p>
          <w:p w:rsidR="002B2FE8" w:rsidRPr="000E19E2" w:rsidRDefault="002B2FE8" w:rsidP="006F67EA">
            <w:pPr>
              <w:pStyle w:val="a"/>
              <w:numPr>
                <w:ilvl w:val="0"/>
                <w:numId w:val="0"/>
              </w:numPr>
              <w:jc w:val="both"/>
              <w:rPr>
                <w:sz w:val="22"/>
              </w:rPr>
            </w:pPr>
            <w:r w:rsidRPr="000E19E2">
              <w:rPr>
                <w:sz w:val="22"/>
              </w:rPr>
              <w:t>Раздел 2  ДОСУДЕБНОЕ ПРОИЗВОДСТВО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29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Возбуждение уголовного дела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 xml:space="preserve"> Предварительное расследование</w:t>
            </w:r>
          </w:p>
          <w:p w:rsidR="002B2FE8" w:rsidRPr="000E19E2" w:rsidRDefault="002B2FE8" w:rsidP="006F67EA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0E19E2">
              <w:rPr>
                <w:b w:val="0"/>
                <w:sz w:val="22"/>
                <w:szCs w:val="22"/>
              </w:rPr>
              <w:t>РАЗДЕЛ 3.  СУДЕБНОЕ ПРОИЗВОДСТВО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29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Подсудность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29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Подготовка и назначение судебного заседания</w:t>
            </w:r>
          </w:p>
          <w:p w:rsidR="002B2FE8" w:rsidRPr="000E19E2" w:rsidRDefault="002B2FE8" w:rsidP="006F67EA">
            <w:pPr>
              <w:pStyle w:val="5"/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0" w:after="0"/>
              <w:ind w:firstLine="295"/>
              <w:jc w:val="both"/>
              <w:rPr>
                <w:b w:val="0"/>
                <w:i w:val="0"/>
                <w:sz w:val="22"/>
                <w:szCs w:val="22"/>
              </w:rPr>
            </w:pPr>
            <w:r w:rsidRPr="000E19E2">
              <w:rPr>
                <w:b w:val="0"/>
                <w:i w:val="0"/>
                <w:sz w:val="22"/>
                <w:szCs w:val="22"/>
              </w:rPr>
              <w:t>Общие условия судебного разбирательства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Порядок проведения судебного заседания и приговор</w:t>
            </w:r>
          </w:p>
          <w:p w:rsidR="002B2FE8" w:rsidRPr="000E19E2" w:rsidRDefault="002B2FE8" w:rsidP="006F67EA">
            <w:pPr>
              <w:pStyle w:val="7"/>
              <w:numPr>
                <w:ilvl w:val="6"/>
                <w:numId w:val="0"/>
              </w:numPr>
              <w:suppressAutoHyphens/>
              <w:spacing w:before="0" w:after="0"/>
              <w:ind w:firstLine="295"/>
              <w:jc w:val="both"/>
              <w:rPr>
                <w:sz w:val="22"/>
                <w:szCs w:val="22"/>
              </w:rPr>
            </w:pPr>
            <w:r w:rsidRPr="000E19E2">
              <w:rPr>
                <w:sz w:val="22"/>
                <w:szCs w:val="22"/>
              </w:rPr>
              <w:t>Особый порядок судебного разбирательства</w:t>
            </w:r>
          </w:p>
          <w:p w:rsidR="002B2FE8" w:rsidRPr="000E19E2" w:rsidRDefault="002B2FE8" w:rsidP="006F67EA">
            <w:pPr>
              <w:pStyle w:val="21"/>
              <w:spacing w:after="0" w:line="240" w:lineRule="auto"/>
              <w:ind w:left="0" w:firstLine="295"/>
              <w:jc w:val="both"/>
              <w:rPr>
                <w:sz w:val="22"/>
                <w:szCs w:val="22"/>
              </w:rPr>
            </w:pPr>
            <w:r w:rsidRPr="000E19E2">
              <w:rPr>
                <w:sz w:val="22"/>
                <w:szCs w:val="22"/>
              </w:rPr>
              <w:t>Особенности производства у мирового судьи и в суде с участием присяжных заседателей</w:t>
            </w:r>
          </w:p>
          <w:p w:rsidR="002B2FE8" w:rsidRPr="000E19E2" w:rsidRDefault="002B2FE8" w:rsidP="006F67EA">
            <w:pPr>
              <w:pStyle w:val="8"/>
              <w:numPr>
                <w:ilvl w:val="7"/>
                <w:numId w:val="0"/>
              </w:numPr>
              <w:tabs>
                <w:tab w:val="num" w:pos="1440"/>
              </w:tabs>
              <w:suppressAutoHyphens/>
              <w:spacing w:before="0" w:after="0"/>
              <w:ind w:firstLine="295"/>
              <w:jc w:val="both"/>
              <w:rPr>
                <w:i w:val="0"/>
                <w:sz w:val="22"/>
                <w:szCs w:val="22"/>
              </w:rPr>
            </w:pPr>
            <w:r w:rsidRPr="000E19E2">
              <w:rPr>
                <w:i w:val="0"/>
                <w:sz w:val="22"/>
                <w:szCs w:val="22"/>
              </w:rPr>
              <w:t>Производство в суде второй инстанции</w:t>
            </w:r>
          </w:p>
          <w:p w:rsidR="002B2FE8" w:rsidRPr="000E19E2" w:rsidRDefault="002B2FE8" w:rsidP="006F67EA">
            <w:pPr>
              <w:spacing w:line="240" w:lineRule="auto"/>
              <w:ind w:firstLine="29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Пересмотр вступивших в законную силу приговоров, определений  и постановлений суда</w:t>
            </w:r>
          </w:p>
          <w:p w:rsidR="002B2FE8" w:rsidRPr="000E19E2" w:rsidRDefault="002B2FE8" w:rsidP="006F67EA">
            <w:pPr>
              <w:pStyle w:val="a5"/>
              <w:spacing w:after="0"/>
              <w:rPr>
                <w:color w:val="0000FF"/>
                <w:sz w:val="22"/>
                <w:szCs w:val="22"/>
              </w:rPr>
            </w:pPr>
            <w:r w:rsidRPr="000E19E2">
              <w:rPr>
                <w:sz w:val="22"/>
                <w:szCs w:val="22"/>
              </w:rPr>
              <w:t>РАЗДЕЛ 4. ОСОБЕННОСТИ ПРОИЗВОДСТВА  ПО  ОТДЕЛЬНЫМ  КАТЕГОРИЯМ  УГОЛОВНЫХ  ДЕЛ И В  ОТНОШЕНИИ ОТДЕЛЬНЫХ КАТЕГОРИЙ ЛИЦ.</w:t>
            </w:r>
          </w:p>
          <w:p w:rsidR="002B2FE8" w:rsidRPr="000E19E2" w:rsidRDefault="002B2FE8" w:rsidP="006F67EA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0"/>
              <w:ind w:firstLine="475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0E19E2">
              <w:rPr>
                <w:rFonts w:cs="Times New Roman"/>
                <w:b w:val="0"/>
                <w:sz w:val="22"/>
                <w:szCs w:val="22"/>
              </w:rPr>
              <w:t>Производство по уголовным делам в отношении несовершеннолетних</w:t>
            </w:r>
          </w:p>
          <w:p w:rsidR="002B2FE8" w:rsidRPr="000E19E2" w:rsidRDefault="002B2FE8" w:rsidP="006F67EA">
            <w:pPr>
              <w:tabs>
                <w:tab w:val="left" w:pos="2415"/>
              </w:tabs>
              <w:spacing w:line="240" w:lineRule="auto"/>
              <w:ind w:firstLine="475"/>
              <w:jc w:val="both"/>
              <w:rPr>
                <w:rFonts w:ascii="Times New Roman" w:hAnsi="Times New Roman"/>
              </w:rPr>
            </w:pPr>
            <w:r w:rsidRPr="000E19E2">
              <w:rPr>
                <w:rFonts w:ascii="Times New Roman" w:hAnsi="Times New Roman"/>
              </w:rPr>
              <w:t>Производство о применении принудительных мер медицинского характера</w:t>
            </w:r>
          </w:p>
          <w:p w:rsidR="002B2FE8" w:rsidRPr="000E19E2" w:rsidRDefault="002B2FE8" w:rsidP="006F67EA">
            <w:pPr>
              <w:pStyle w:val="5"/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0" w:after="0"/>
              <w:ind w:firstLine="475"/>
              <w:jc w:val="both"/>
              <w:rPr>
                <w:b w:val="0"/>
                <w:i w:val="0"/>
                <w:sz w:val="22"/>
                <w:szCs w:val="22"/>
              </w:rPr>
            </w:pPr>
            <w:r w:rsidRPr="000E19E2">
              <w:rPr>
                <w:b w:val="0"/>
                <w:i w:val="0"/>
                <w:sz w:val="22"/>
                <w:szCs w:val="22"/>
              </w:rPr>
              <w:t>Особенности производства по делам в отношении  отдельных категорий лиц</w:t>
            </w:r>
          </w:p>
          <w:p w:rsidR="002B2FE8" w:rsidRPr="00B34FA5" w:rsidRDefault="002B2FE8" w:rsidP="006F67EA">
            <w:pPr>
              <w:pStyle w:val="1"/>
              <w:ind w:left="0" w:right="0" w:firstLine="475"/>
              <w:rPr>
                <w:b w:val="0"/>
                <w:sz w:val="24"/>
                <w:szCs w:val="24"/>
              </w:rPr>
            </w:pPr>
            <w:r w:rsidRPr="000E19E2">
              <w:rPr>
                <w:b w:val="0"/>
                <w:sz w:val="22"/>
                <w:szCs w:val="22"/>
              </w:rPr>
              <w:t>Порядок взаимодействия судов, прокуроров, следователей и органов дознания с соответствующими компетентными органами и должностными лицами иностранных государств и международными организациями</w:t>
            </w:r>
          </w:p>
          <w:p w:rsidR="002B2FE8" w:rsidRPr="003F4715" w:rsidRDefault="002B2FE8" w:rsidP="006F67EA">
            <w:pPr>
              <w:tabs>
                <w:tab w:val="num" w:pos="171"/>
              </w:tabs>
              <w:spacing w:after="0" w:line="240" w:lineRule="auto"/>
              <w:ind w:left="171" w:right="-205" w:firstLine="284"/>
              <w:contextualSpacing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2B2FE8" w:rsidRPr="003F4715" w:rsidTr="006F67EA">
        <w:trPr>
          <w:trHeight w:val="2787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595" w:type="dxa"/>
            <w:vAlign w:val="center"/>
          </w:tcPr>
          <w:p w:rsidR="002B2FE8" w:rsidRDefault="002B2FE8" w:rsidP="006F67E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3F471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2B2FE8" w:rsidRPr="000E19E2" w:rsidRDefault="002B2FE8" w:rsidP="006F67EA">
            <w:pPr>
              <w:jc w:val="both"/>
              <w:rPr>
                <w:rFonts w:ascii="Times New Roman" w:hAnsi="Times New Roman"/>
              </w:rPr>
            </w:pPr>
            <w:hyperlink r:id="rId6" w:tgtFrame="_blank" w:history="1">
              <w:r w:rsidRPr="000E19E2">
                <w:rPr>
                  <w:rStyle w:val="a4"/>
                </w:rPr>
                <w:t>Уголовный</w:t>
              </w:r>
              <w:r w:rsidRPr="000E19E2">
                <w:rPr>
                  <w:rStyle w:val="apple-converted-space"/>
                </w:rPr>
                <w:t> </w:t>
              </w:r>
              <w:r w:rsidRPr="000E19E2">
                <w:rPr>
                  <w:rStyle w:val="a4"/>
                </w:rPr>
                <w:t>процесс: учебно-методическое пособие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0E19E2">
              <w:rPr>
                <w:rFonts w:ascii="Times New Roman" w:hAnsi="Times New Roman"/>
              </w:rPr>
              <w:t>Астафьев Ю. В., Астафьев А. Ю., Малахова Л. И., Моргачева Л. А., Панько Н. К. Издатель: Издательский дом ВГУ, 2015</w:t>
            </w:r>
          </w:p>
          <w:p w:rsidR="002B2FE8" w:rsidRPr="000E19E2" w:rsidRDefault="002B2FE8" w:rsidP="006F67EA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7" w:tgtFrame="_blank" w:history="1">
              <w:r w:rsidRPr="000E19E2">
                <w:rPr>
                  <w:rStyle w:val="a4"/>
                </w:rPr>
                <w:t>Практические задания (кейсы) для подготовки контрольных работ по дисциплине «Уголовный</w:t>
              </w:r>
              <w:r w:rsidRPr="000E19E2">
                <w:rPr>
                  <w:rStyle w:val="apple-converted-space"/>
                </w:rPr>
                <w:t> </w:t>
              </w:r>
              <w:r w:rsidRPr="000E19E2">
                <w:rPr>
                  <w:rStyle w:val="a4"/>
                </w:rPr>
                <w:t>процесс»: учебно-практическое пособие</w:t>
              </w:r>
            </w:hyperlink>
            <w:r w:rsidRPr="000E19E2">
              <w:rPr>
                <w:rFonts w:ascii="Times New Roman" w:hAnsi="Times New Roman"/>
              </w:rPr>
              <w:t>. Издатель: Омская юридическая академия, 2015</w:t>
            </w:r>
          </w:p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2B2FE8" w:rsidRPr="003F4715" w:rsidRDefault="002B2FE8" w:rsidP="006F67EA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Гарант, Консультант, а также:</w:t>
            </w:r>
          </w:p>
          <w:p w:rsidR="002B2FE8" w:rsidRPr="003F4715" w:rsidRDefault="002B2FE8" w:rsidP="006F67EA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Научно-технический центр правовой информации «Система» - эталонный </w:t>
            </w:r>
            <w:hyperlink r:id="rId8" w:tooltip="Банк данных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банк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правовых актов высших органов государственной власти;</w:t>
            </w:r>
          </w:p>
          <w:p w:rsidR="002B2FE8" w:rsidRPr="003F4715" w:rsidRDefault="002B2FE8" w:rsidP="006F67EA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Информационно-правовую систему «</w:t>
            </w:r>
            <w:hyperlink r:id="rId9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Законодательство России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» - ГСРПА России // </w:t>
            </w:r>
            <w:hyperlink r:id="rId10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http://pravo.gov.ru/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; БД </w:t>
            </w:r>
            <w:hyperlink r:id="rId11" w:tooltip="Научный центр правовой информации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НЦПИ Минюста России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// http://www.scli.ru/;</w:t>
            </w:r>
          </w:p>
          <w:p w:rsidR="002B2FE8" w:rsidRPr="003F4715" w:rsidRDefault="002B2FE8" w:rsidP="006F67EA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БД </w:t>
            </w:r>
            <w:hyperlink r:id="rId12" w:tooltip="Министерство иностранных дел России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Министерства иностранных дел России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; СПС «Гарант» // </w:t>
            </w:r>
            <w:hyperlink r:id="rId13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http://www.garant.ru/</w:t>
              </w:r>
            </w:hyperlink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;  СПС «КонсультантПлюс» // </w:t>
            </w:r>
            <w:hyperlink r:id="rId14" w:history="1">
              <w:r w:rsidRPr="003F471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http://www.consultant.ru/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B2FE8" w:rsidRPr="003F4715" w:rsidRDefault="002B2FE8" w:rsidP="006F67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lang w:eastAsia="ru-RU"/>
              </w:rPr>
              <w:t>Ресурсы информационно-телекоммуникационной сети «Интернет»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hyperlink r:id="rId15" w:history="1">
              <w:r w:rsidRPr="003F4715">
                <w:rPr>
                  <w:rFonts w:ascii="Times New Roman" w:hAnsi="Times New Roman"/>
                  <w:lang w:eastAsia="ru-RU"/>
                </w:rPr>
                <w:t>www.pravo.gov.ru</w:t>
              </w:r>
            </w:hyperlink>
            <w:r w:rsidRPr="003F4715">
              <w:rPr>
                <w:rFonts w:ascii="Times New Roman" w:hAnsi="Times New Roman"/>
                <w:lang w:eastAsia="ru-RU"/>
              </w:rPr>
              <w:t xml:space="preserve"> - Государственная система правовой информации;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www.ksrf.ru - Конституционный Суд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www.supcourt.ru - Верховный Суд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www.sledcom.ru - Следственный комитет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lastRenderedPageBreak/>
              <w:t>http://mvd.ru/ - Министерство внутренних дел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www.genproc.gov.ru - Генеральная прокуратура Российской Федерации;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www.sudrf.ru - Государственная автоматизированная система «Правосудие»;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www.iuaj.net - Международная Ассоциация Содействия Правосудию;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www.kalinovsky-k.narod.ru - Сайт Константина Борисовича Калиновского;</w:t>
            </w:r>
          </w:p>
          <w:p w:rsidR="002B2FE8" w:rsidRPr="003F4715" w:rsidRDefault="002B2FE8" w:rsidP="006F67EA">
            <w:pPr>
              <w:spacing w:after="0" w:line="240" w:lineRule="auto"/>
              <w:ind w:firstLine="115"/>
              <w:jc w:val="both"/>
              <w:rPr>
                <w:rFonts w:ascii="Times New Roman" w:hAnsi="Times New Roman"/>
                <w:lang w:eastAsia="ru-RU"/>
              </w:rPr>
            </w:pPr>
            <w:r w:rsidRPr="003F4715">
              <w:rPr>
                <w:rFonts w:ascii="Times New Roman" w:hAnsi="Times New Roman"/>
                <w:lang w:eastAsia="ru-RU"/>
              </w:rPr>
              <w:t>www.law.edu.ru - Федеральный правовой портал «Юридическая Россия».</w:t>
            </w:r>
          </w:p>
          <w:p w:rsidR="002B2FE8" w:rsidRPr="003F4715" w:rsidRDefault="002B2FE8" w:rsidP="006F67EA">
            <w:pPr>
              <w:keepNext/>
              <w:spacing w:after="0" w:line="240" w:lineRule="auto"/>
              <w:ind w:firstLine="880"/>
              <w:outlineLvl w:val="0"/>
              <w:rPr>
                <w:rFonts w:ascii="Times New Roman" w:eastAsia="Times New Roman" w:hAnsi="Times New Roman"/>
                <w:b/>
                <w:bCs/>
                <w:i/>
                <w:kern w:val="32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i/>
                <w:kern w:val="32"/>
                <w:lang w:eastAsia="ru-RU"/>
              </w:rPr>
              <w:t>Материально-техническое обеспечение дисциплины:</w:t>
            </w:r>
          </w:p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right="61" w:firstLine="313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 ходе лекционных и практических (семинарских) занятий использу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тся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аудитория,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мультимедийный проектор.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B2FE8" w:rsidRPr="003F4715" w:rsidTr="006F67EA">
        <w:trPr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8595" w:type="dxa"/>
            <w:vAlign w:val="center"/>
          </w:tcPr>
          <w:p w:rsidR="002B2FE8" w:rsidRPr="000E19E2" w:rsidRDefault="002B2FE8" w:rsidP="006F67EA">
            <w:pPr>
              <w:tabs>
                <w:tab w:val="left" w:pos="335"/>
              </w:tabs>
              <w:spacing w:after="0" w:line="240" w:lineRule="auto"/>
              <w:ind w:right="61" w:firstLine="31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E19E2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курсовые и контрольные работы; тестовые задания; рефераты; доклады; работа с интернет – источниками; работа с законодательными первоисточниками.  </w:t>
            </w:r>
          </w:p>
        </w:tc>
      </w:tr>
      <w:tr w:rsidR="002B2FE8" w:rsidRPr="003F4715" w:rsidTr="006F67EA">
        <w:trPr>
          <w:trHeight w:val="802"/>
          <w:tblCellSpacing w:w="15" w:type="dxa"/>
        </w:trPr>
        <w:tc>
          <w:tcPr>
            <w:tcW w:w="1755" w:type="dxa"/>
            <w:vAlign w:val="center"/>
          </w:tcPr>
          <w:p w:rsidR="002B2FE8" w:rsidRPr="003F4715" w:rsidRDefault="002B2FE8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595" w:type="dxa"/>
            <w:vAlign w:val="center"/>
          </w:tcPr>
          <w:p w:rsidR="002B2FE8" w:rsidRPr="003F4715" w:rsidRDefault="002B2FE8" w:rsidP="006F67EA">
            <w:pPr>
              <w:tabs>
                <w:tab w:val="left" w:pos="335"/>
              </w:tabs>
              <w:spacing w:after="0" w:line="240" w:lineRule="auto"/>
              <w:ind w:firstLine="313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Зачет, экзамен. 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D"/>
    <w:rsid w:val="002B2FE8"/>
    <w:rsid w:val="00432E4D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FE8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2B2F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B2FE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B2F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2B2FE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B2F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2FE8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B2F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B2F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B2F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rsid w:val="002B2FE8"/>
    <w:rPr>
      <w:color w:val="0000FF"/>
      <w:u w:val="single"/>
    </w:rPr>
  </w:style>
  <w:style w:type="character" w:customStyle="1" w:styleId="apple-converted-space">
    <w:name w:val="apple-converted-space"/>
    <w:rsid w:val="002B2FE8"/>
  </w:style>
  <w:style w:type="paragraph" w:styleId="a5">
    <w:name w:val="Body Text"/>
    <w:basedOn w:val="a0"/>
    <w:link w:val="a6"/>
    <w:rsid w:val="002B2FE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2B2FE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содержание"/>
    <w:basedOn w:val="a0"/>
    <w:rsid w:val="002B2FE8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0"/>
    <w:rsid w:val="002B2FE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Цитата1"/>
    <w:basedOn w:val="a0"/>
    <w:rsid w:val="002B2FE8"/>
    <w:pPr>
      <w:suppressAutoHyphens/>
      <w:spacing w:after="0" w:line="240" w:lineRule="auto"/>
      <w:ind w:left="1701" w:right="-1192" w:hanging="1701"/>
      <w:jc w:val="both"/>
    </w:pPr>
    <w:rPr>
      <w:rFonts w:ascii="Times New Roman" w:eastAsia="Times New Roman" w:hAnsi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FE8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2B2F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2B2FE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B2F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2B2FE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B2FE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2FE8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2B2F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B2F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2B2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B2F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rsid w:val="002B2FE8"/>
    <w:rPr>
      <w:color w:val="0000FF"/>
      <w:u w:val="single"/>
    </w:rPr>
  </w:style>
  <w:style w:type="character" w:customStyle="1" w:styleId="apple-converted-space">
    <w:name w:val="apple-converted-space"/>
    <w:rsid w:val="002B2FE8"/>
  </w:style>
  <w:style w:type="paragraph" w:styleId="a5">
    <w:name w:val="Body Text"/>
    <w:basedOn w:val="a0"/>
    <w:link w:val="a6"/>
    <w:rsid w:val="002B2FE8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2B2FE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содержание"/>
    <w:basedOn w:val="a0"/>
    <w:rsid w:val="002B2FE8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0"/>
    <w:rsid w:val="002B2FE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Цитата1"/>
    <w:basedOn w:val="a0"/>
    <w:rsid w:val="002B2FE8"/>
    <w:pPr>
      <w:suppressAutoHyphens/>
      <w:spacing w:after="0" w:line="240" w:lineRule="auto"/>
      <w:ind w:left="1701" w:right="-1192" w:hanging="1701"/>
      <w:jc w:val="both"/>
    </w:pPr>
    <w:rPr>
      <w:rFonts w:ascii="Times New Roman" w:eastAsia="Times New Roman" w:hAnsi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D%D0%BA_%D0%B4%D0%B0%D0%BD%D0%BD%D1%8B%D1%85" TargetMode="External"/><Relationship Id="rId13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375166&amp;sr=1" TargetMode="External"/><Relationship Id="rId12" Type="http://schemas.openxmlformats.org/officeDocument/2006/relationships/hyperlink" Target="https://ru.wikipedia.org/wiki/%D0%9C%D0%B8%D0%BD%D0%B8%D1%81%D1%82%D0%B5%D1%80%D1%81%D1%82%D0%B2%D0%BE_%D0%B8%D0%BD%D0%BE%D1%81%D1%82%D1%80%D0%B0%D0%BD%D0%BD%D1%8B%D1%85_%D0%B4%D0%B5%D0%BB_%D0%A0%D0%BE%D1%81%D1%81%D0%B8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41610&amp;sr=1" TargetMode="External"/><Relationship Id="rId11" Type="http://schemas.openxmlformats.org/officeDocument/2006/relationships/hyperlink" Target="https://ru.wikipedia.org/wiki/%D0%9D%D0%B0%D1%83%D1%87%D0%BD%D1%8B%D0%B9_%D1%86%D0%B5%D0%BD%D1%82%D1%80_%D0%BF%D1%80%D0%B0%D0%B2%D0%BE%D0%B2%D0%BE%D0%B9_%D0%B8%D0%BD%D1%84%D0%BE%D1%80%D0%BC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fso.gov.ru/proxy/ips?start_search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2017-09-15T04:50:00Z</dcterms:created>
  <dcterms:modified xsi:type="dcterms:W3CDTF">2017-09-15T04:50:00Z</dcterms:modified>
</cp:coreProperties>
</file>