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476B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ГРАЖДАНСКОЕ ПРАВО. </w:t>
      </w:r>
      <w:r w:rsidR="00D5081D">
        <w:rPr>
          <w:rFonts w:ascii="Times New Roman" w:hAnsi="Times New Roman" w:cs="Times New Roman"/>
          <w:b/>
          <w:bCs/>
          <w:sz w:val="28"/>
          <w:szCs w:val="28"/>
        </w:rPr>
        <w:t xml:space="preserve">ВТОРАЯ </w:t>
      </w:r>
      <w:r w:rsidR="00DF476B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71EE" w:rsidRPr="009F71EE" w:rsidRDefault="009F71EE" w:rsidP="009F71EE">
      <w:pPr>
        <w:spacing w:before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DF476B" w:rsidRDefault="00DF476B" w:rsidP="00DF476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402CD">
              <w:t xml:space="preserve"> </w:t>
            </w:r>
            <w:r w:rsidRPr="00DF476B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DF476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F476B">
              <w:rPr>
                <w:rFonts w:ascii="Times New Roman" w:hAnsi="Times New Roman" w:cs="Times New Roman"/>
              </w:rPr>
              <w:t xml:space="preserve"> теоретических знаний в области гражданского права, а также практических навыков, необходимых для  успешного осуществления профессиональной деятельности, формирование у студентов базовых знаний и  развитие юридического мышления в сфере гражданско-правовых отношений. В результате изучения курса «Гражданское право» обучающиеся должны изучить современное состояние и актуальные проблемы правового регулирования отношений, возникающих в процессе имущественных, личных (неимущественных) тесно связанных и </w:t>
            </w:r>
            <w:proofErr w:type="gramStart"/>
            <w:r w:rsidRPr="00DF476B">
              <w:rPr>
                <w:rFonts w:ascii="Times New Roman" w:hAnsi="Times New Roman" w:cs="Times New Roman"/>
              </w:rPr>
              <w:t>имущественными</w:t>
            </w:r>
            <w:proofErr w:type="gramEnd"/>
            <w:r w:rsidRPr="00DF476B">
              <w:rPr>
                <w:rFonts w:ascii="Times New Roman" w:hAnsi="Times New Roman" w:cs="Times New Roman"/>
              </w:rPr>
              <w:t>, личных (неимущественных) опосредованно связанных с имущественными, а также корпоративных отношений.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DF476B" w:rsidRDefault="00DF476B" w:rsidP="00D50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76B">
              <w:rPr>
                <w:rFonts w:ascii="Times New Roman" w:hAnsi="Times New Roman" w:cs="Times New Roman"/>
              </w:rPr>
              <w:t>Дисциплина «</w:t>
            </w:r>
            <w:r w:rsidRPr="00DF476B">
              <w:rPr>
                <w:rFonts w:ascii="Times New Roman" w:hAnsi="Times New Roman" w:cs="Times New Roman"/>
              </w:rPr>
              <w:fldChar w:fldCharType="begin"/>
            </w:r>
            <w:r w:rsidRPr="00DF476B">
              <w:rPr>
                <w:rFonts w:ascii="Times New Roman" w:hAnsi="Times New Roman" w:cs="Times New Roman"/>
              </w:rPr>
              <w:instrText xml:space="preserve"> FILLIN   \* MERGEFORMAT </w:instrText>
            </w:r>
            <w:r w:rsidRPr="00DF476B">
              <w:rPr>
                <w:rFonts w:ascii="Times New Roman" w:hAnsi="Times New Roman" w:cs="Times New Roman"/>
              </w:rPr>
              <w:fldChar w:fldCharType="separate"/>
            </w:r>
            <w:r w:rsidRPr="00DF476B">
              <w:rPr>
                <w:rFonts w:ascii="Times New Roman" w:hAnsi="Times New Roman" w:cs="Times New Roman"/>
              </w:rPr>
              <w:t>Гражданское право</w:t>
            </w:r>
            <w:r w:rsidRPr="00DF476B">
              <w:rPr>
                <w:rFonts w:ascii="Times New Roman" w:hAnsi="Times New Roman" w:cs="Times New Roman"/>
              </w:rPr>
              <w:fldChar w:fldCharType="end"/>
            </w:r>
            <w:r w:rsidRPr="00DF476B">
              <w:rPr>
                <w:rFonts w:ascii="Times New Roman" w:hAnsi="Times New Roman" w:cs="Times New Roman"/>
              </w:rPr>
              <w:t>.</w:t>
            </w:r>
            <w:r w:rsidR="00D5081D">
              <w:rPr>
                <w:rFonts w:ascii="Times New Roman" w:hAnsi="Times New Roman" w:cs="Times New Roman"/>
              </w:rPr>
              <w:t xml:space="preserve"> Вторая </w:t>
            </w:r>
            <w:r w:rsidRPr="00DF476B">
              <w:rPr>
                <w:rFonts w:ascii="Times New Roman" w:hAnsi="Times New Roman" w:cs="Times New Roman"/>
              </w:rPr>
              <w:t>часть» относится к базовой части (Б</w:t>
            </w:r>
            <w:proofErr w:type="gramStart"/>
            <w:r w:rsidRPr="00DF476B">
              <w:rPr>
                <w:rFonts w:ascii="Times New Roman" w:hAnsi="Times New Roman" w:cs="Times New Roman"/>
              </w:rPr>
              <w:t>1</w:t>
            </w:r>
            <w:proofErr w:type="gramEnd"/>
            <w:r w:rsidRPr="00DF476B">
              <w:rPr>
                <w:rFonts w:ascii="Times New Roman" w:hAnsi="Times New Roman" w:cs="Times New Roman"/>
              </w:rPr>
              <w:t>.Б.1</w:t>
            </w:r>
            <w:r w:rsidR="00D5081D">
              <w:rPr>
                <w:rFonts w:ascii="Times New Roman" w:hAnsi="Times New Roman" w:cs="Times New Roman"/>
              </w:rPr>
              <w:t>1.</w:t>
            </w:r>
            <w:r w:rsidRPr="00DF476B">
              <w:rPr>
                <w:rFonts w:ascii="Times New Roman" w:hAnsi="Times New Roman" w:cs="Times New Roman"/>
              </w:rPr>
              <w:t xml:space="preserve">2) </w:t>
            </w:r>
            <w:r w:rsidR="00DC5CB8" w:rsidRPr="00DF476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планов по направлению подготовки 40.03.01 (Судебно-адвокатский профиль)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78" w:rsidRPr="00A978FE" w:rsidRDefault="004A2C78" w:rsidP="004A2C78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8F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обладать следующими компетенциями:</w:t>
            </w:r>
          </w:p>
          <w:p w:rsidR="004A2C78" w:rsidRPr="00A978FE" w:rsidRDefault="004A2C78" w:rsidP="004A2C78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8F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374AD" w:rsidRPr="00A978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F476B" w:rsidRPr="00A978FE">
              <w:rPr>
                <w:rFonts w:ascii="Times New Roman" w:hAnsi="Times New Roman" w:cs="Times New Roman"/>
                <w:sz w:val="24"/>
                <w:szCs w:val="24"/>
              </w:rPr>
              <w:t>блада</w:t>
            </w:r>
            <w:r w:rsidR="00D374AD" w:rsidRPr="00A978FE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DF476B" w:rsidRPr="00A978F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самоорганизации и самообразованию</w:t>
            </w:r>
            <w:r w:rsidR="00DF476B" w:rsidRPr="00A97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8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F476B" w:rsidRPr="00A978FE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  <w:r w:rsidRPr="00A978F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9F71EE" w:rsidRPr="00A978FE" w:rsidRDefault="004A2C78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7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DF476B" w:rsidRPr="00A978F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работать на благо общества и государства </w:t>
            </w:r>
            <w:r w:rsidRPr="00A978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F476B" w:rsidRPr="00A978FE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  <w:r w:rsidRPr="00A978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476B" w:rsidRPr="00A978FE" w:rsidRDefault="00DF476B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78FE">
              <w:rPr>
                <w:rFonts w:ascii="Times New Roman" w:hAnsi="Times New Roman" w:cs="Times New Roman"/>
                <w:sz w:val="24"/>
                <w:szCs w:val="24"/>
              </w:rPr>
              <w:t>способностью сохранять и укреплять доверие общества к юридическому сообществу</w:t>
            </w:r>
            <w:r w:rsidR="00D374AD" w:rsidRPr="00A9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8FE">
              <w:rPr>
                <w:rFonts w:ascii="Times New Roman" w:hAnsi="Times New Roman" w:cs="Times New Roman"/>
                <w:sz w:val="24"/>
                <w:szCs w:val="24"/>
              </w:rPr>
              <w:t>(ОПК-4)</w:t>
            </w:r>
          </w:p>
          <w:p w:rsidR="00DF476B" w:rsidRDefault="00A978FE" w:rsidP="00A978FE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78FE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подготовки юридических документов</w:t>
            </w:r>
            <w:r w:rsidRPr="00A9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76B" w:rsidRPr="00A978FE"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 w:rsidRPr="00A97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76B" w:rsidRPr="00A97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5B5A" w:rsidRPr="00A978FE" w:rsidRDefault="000A5B5A" w:rsidP="000A5B5A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1EE" w:rsidRPr="00D374AD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7B08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32" w:rsidRPr="00D374AD" w:rsidRDefault="00240632" w:rsidP="007B0809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 должен: </w:t>
            </w:r>
          </w:p>
          <w:p w:rsidR="00D374AD" w:rsidRPr="00A978FE" w:rsidRDefault="00240632" w:rsidP="007B080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A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подходы к моделированию своего образовательного уровня, соответствующего качествам профессионала-юриста; принципы социальной направленности профессии юриста; направления профессиональной деятельности по обеспечению интересов государства и гражданского общества, пути и средства обеспечения благополучия народа; </w:t>
            </w:r>
            <w:r w:rsidR="00A978FE" w:rsidRPr="00A978FE">
              <w:rPr>
                <w:rFonts w:ascii="Times New Roman" w:hAnsi="Times New Roman" w:cs="Times New Roman"/>
                <w:sz w:val="24"/>
                <w:szCs w:val="24"/>
              </w:rPr>
              <w:t xml:space="preserve">стили и формы изложения юридических документов; правила построения и </w:t>
            </w:r>
            <w:proofErr w:type="gramStart"/>
            <w:r w:rsidR="00A978FE" w:rsidRPr="00A978FE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proofErr w:type="gramEnd"/>
            <w:r w:rsidR="00A978FE" w:rsidRPr="00A978FE">
              <w:rPr>
                <w:rFonts w:ascii="Times New Roman" w:hAnsi="Times New Roman" w:cs="Times New Roman"/>
                <w:sz w:val="24"/>
                <w:szCs w:val="24"/>
              </w:rPr>
              <w:t xml:space="preserve">   юридических способы и приемы толкования юридических но</w:t>
            </w:r>
            <w:r w:rsidR="00A978FE">
              <w:rPr>
                <w:rFonts w:ascii="Times New Roman" w:hAnsi="Times New Roman" w:cs="Times New Roman"/>
                <w:sz w:val="24"/>
                <w:szCs w:val="24"/>
              </w:rPr>
              <w:t>рм и нормативных правовых актов</w:t>
            </w:r>
          </w:p>
          <w:p w:rsidR="00D374AD" w:rsidRPr="00A978FE" w:rsidRDefault="00240632" w:rsidP="007B0809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  <w:b/>
              </w:rPr>
            </w:pPr>
            <w:r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D374AD" w:rsidRPr="00D374A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определять задачи своего личностного и профессионального роста; применять к себе  методы конструирования личности, как профессионала-юриста; </w:t>
            </w:r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>выбирать и эффективно использовать образовательные технологии (в том числе и информационные технологии), методы и средства обучения с целью достижения планируемого уровня личностного и профессионального развития</w:t>
            </w:r>
            <w:proofErr w:type="gramStart"/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последствия принятого решения и нести </w:t>
            </w:r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="00D374AD" w:rsidRPr="00A978FE">
              <w:rPr>
                <w:rFonts w:ascii="Times New Roman" w:hAnsi="Times New Roman" w:cs="Times New Roman"/>
                <w:sz w:val="24"/>
                <w:szCs w:val="24"/>
              </w:rPr>
              <w:t xml:space="preserve">него ответственность выбирать средства и приемы, необходимые для решения задач, направленных на благо личности, общества и государства; на основе нравственных </w:t>
            </w:r>
            <w:bookmarkStart w:id="0" w:name="_GoBack"/>
            <w:bookmarkEnd w:id="0"/>
            <w:r w:rsidR="00D374AD" w:rsidRPr="00A978FE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 и норм права определять и квалифицировать действия, направленные на благо личности, общества и государства; </w:t>
            </w:r>
            <w:r w:rsidR="00A978FE" w:rsidRPr="00A978FE">
              <w:rPr>
                <w:rFonts w:ascii="Times New Roman" w:hAnsi="Times New Roman" w:cs="Times New Roman"/>
                <w:sz w:val="24"/>
                <w:szCs w:val="24"/>
              </w:rPr>
              <w:t>выбирать средства и приемы юридической техники для составления конкретного юридического документа;</w:t>
            </w:r>
            <w:proofErr w:type="gramEnd"/>
            <w:r w:rsidR="00A978FE" w:rsidRPr="00A978F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определять  соответствующие нормы права, подлежащие применению при составлении официальных письменных документов;</w:t>
            </w:r>
          </w:p>
          <w:p w:rsidR="009F71EE" w:rsidRPr="00D374AD" w:rsidRDefault="00240632" w:rsidP="007B0809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самоанализа и самоконтроля профессиональной деятельности; навыками оценивания </w:t>
            </w:r>
            <w:proofErr w:type="spellStart"/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профессиональных качеств; </w:t>
            </w:r>
            <w:r w:rsidR="00A978FE" w:rsidRPr="00A978FE">
              <w:rPr>
                <w:rFonts w:ascii="Times New Roman" w:hAnsi="Times New Roman" w:cs="Times New Roman"/>
                <w:sz w:val="24"/>
                <w:szCs w:val="24"/>
              </w:rPr>
              <w:t>навыками составления официальных письменных документов в сфере гражданского права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6B" w:rsidRPr="00A978FE" w:rsidRDefault="00A978FE" w:rsidP="008E0B1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8FE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виды обязательств</w:t>
            </w:r>
          </w:p>
          <w:p w:rsidR="009F71EE" w:rsidRPr="00A978FE" w:rsidRDefault="00A978FE" w:rsidP="00DF476B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8FE">
              <w:rPr>
                <w:rFonts w:ascii="Times New Roman" w:hAnsi="Times New Roman" w:cs="Times New Roman"/>
              </w:rPr>
              <w:t>Мена. Дарение.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Рента. Пожизненное содержание с иждивением.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Общие положения об аренде.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Прокат. Аренда транспортных средств.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Аренда зданий, сооружений. Аренда предприятий. Лизинг.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Жилищные правоотношения. Договор найма жилого помещения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Безвозмездное пользование имуществом.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Общие положения о подряде.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Бытовой подряд. Договор подряда на выполнение проектных и изыскательских работ. Договоры на выполнение научно-исследовательских, опытно-конструкторских и технологических работ. Отдельные виды договора подряда.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Строительный подряд.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Возмездное оказание услуг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Перевозка. Транспортная экспедиция.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Заем, кредит.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Финансирование под уступку денежного требования.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Банковский вклад.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Банковский счет.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Расчетные правоотношения.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Хранение.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Страхование.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Поручение. Действие в чужом интересе без поручения.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Комиссия. Агентирование.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Доверительное управление.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Коммерческая концессия.</w:t>
            </w:r>
            <w:r w:rsidRPr="00A978FE">
              <w:rPr>
                <w:rFonts w:ascii="Times New Roman" w:hAnsi="Times New Roman" w:cs="Times New Roman"/>
              </w:rPr>
              <w:t xml:space="preserve"> </w:t>
            </w:r>
            <w:r w:rsidRPr="00A978FE">
              <w:rPr>
                <w:rFonts w:ascii="Times New Roman" w:hAnsi="Times New Roman" w:cs="Times New Roman"/>
              </w:rPr>
              <w:t>Простое товарищество</w:t>
            </w:r>
          </w:p>
        </w:tc>
      </w:tr>
      <w:tr w:rsidR="009F71EE" w:rsidRPr="009F71EE" w:rsidTr="009F71EE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5A" w:rsidRPr="000A5B5A" w:rsidRDefault="000A5B5A" w:rsidP="000A5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6" w:tgtFrame="_blank" w:history="1">
              <w:r w:rsidRPr="000A5B5A">
                <w:rPr>
                  <w:rFonts w:ascii="Times New Roman" w:hAnsi="Times New Roman" w:cs="Times New Roman"/>
                  <w:sz w:val="24"/>
                  <w:szCs w:val="24"/>
                </w:rPr>
                <w:t>Гражданское </w:t>
              </w:r>
              <w:r w:rsidRPr="000A5B5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право</w:t>
              </w:r>
              <w:r w:rsidRPr="000A5B5A">
                <w:rPr>
                  <w:rFonts w:ascii="Times New Roman" w:hAnsi="Times New Roman" w:cs="Times New Roman"/>
                  <w:sz w:val="24"/>
                  <w:szCs w:val="24"/>
                </w:rPr>
                <w:t xml:space="preserve"> : учебник : в 2 т. </w:t>
              </w:r>
            </w:hyperlink>
            <w:proofErr w:type="gramStart"/>
            <w:r w:rsidRPr="000A5B5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0A5B5A">
              <w:rPr>
                <w:rFonts w:ascii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 w:rsidRPr="000A5B5A">
              <w:rPr>
                <w:rFonts w:ascii="Times New Roman" w:hAnsi="Times New Roman" w:cs="Times New Roman"/>
                <w:sz w:val="24"/>
                <w:szCs w:val="24"/>
              </w:rPr>
              <w:t>Гонгало</w:t>
            </w:r>
            <w:proofErr w:type="spellEnd"/>
            <w:r w:rsidRPr="000A5B5A">
              <w:rPr>
                <w:rFonts w:ascii="Times New Roman" w:hAnsi="Times New Roman" w:cs="Times New Roman"/>
                <w:sz w:val="24"/>
                <w:szCs w:val="24"/>
              </w:rPr>
              <w:t xml:space="preserve"> Б.Н.  Издатель: Статут, 2016, 511 стр. </w:t>
            </w:r>
            <w:hyperlink r:id="rId7" w:history="1">
              <w:r w:rsidRPr="000A5B5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https://biblioclub.ru/index.php?page=book_red&amp;id=453039&amp;sr=1</w:t>
              </w:r>
            </w:hyperlink>
          </w:p>
          <w:p w:rsidR="000A5B5A" w:rsidRPr="000A5B5A" w:rsidRDefault="000A5B5A" w:rsidP="000A5B5A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A5B5A">
              <w:rPr>
                <w:rFonts w:ascii="Times New Roman" w:hAnsi="Times New Roman"/>
                <w:sz w:val="24"/>
                <w:szCs w:val="24"/>
              </w:rPr>
              <w:t>2</w:t>
            </w:r>
            <w:r w:rsidRPr="000A5B5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0A5B5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A5B5A">
              <w:rPr>
                <w:rFonts w:ascii="Times New Roman" w:hAnsi="Times New Roman"/>
                <w:b w:val="0"/>
                <w:i/>
                <w:iCs/>
                <w:sz w:val="24"/>
                <w:szCs w:val="24"/>
                <w:shd w:val="clear" w:color="auto" w:fill="FFFFFF"/>
              </w:rPr>
              <w:t xml:space="preserve"> Иванова, Е. </w:t>
            </w:r>
            <w:proofErr w:type="spellStart"/>
            <w:r w:rsidRPr="000A5B5A">
              <w:rPr>
                <w:rFonts w:ascii="Times New Roman" w:hAnsi="Times New Roman"/>
                <w:b w:val="0"/>
                <w:i/>
                <w:iCs/>
                <w:sz w:val="24"/>
                <w:szCs w:val="24"/>
                <w:shd w:val="clear" w:color="auto" w:fill="FFFFFF"/>
              </w:rPr>
              <w:t>В.</w:t>
            </w:r>
            <w:r w:rsidRPr="000A5B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Гражданское</w:t>
            </w:r>
            <w:proofErr w:type="spellEnd"/>
            <w:r w:rsidRPr="000A5B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право. Особенная часть</w:t>
            </w:r>
            <w:proofErr w:type="gramStart"/>
            <w:r w:rsidRPr="000A5B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A5B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учебник и практикум для вузов / Е. В. Иванова. — 5-е изд., </w:t>
            </w:r>
            <w:proofErr w:type="spellStart"/>
            <w:r w:rsidRPr="000A5B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A5B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0A5B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A5B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2019. — 344 с. — (Высшее образование). — ISBN 978-5-534-11794-3. — Текст</w:t>
            </w:r>
            <w:proofErr w:type="gramStart"/>
            <w:r w:rsidRPr="000A5B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A5B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0A5B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A5B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0A5B5A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https://biblio-online.ru/bcode/446168</w:t>
              </w:r>
            </w:hyperlink>
            <w:r w:rsidRPr="000A5B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(дата обращения: 28.08.2019).</w:t>
            </w:r>
            <w:r w:rsidRPr="000A5B5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 </w:t>
            </w:r>
          </w:p>
          <w:p w:rsidR="000A5B5A" w:rsidRPr="000A5B5A" w:rsidRDefault="000A5B5A" w:rsidP="000A5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5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3.Белов, В. </w:t>
            </w:r>
            <w:proofErr w:type="spellStart"/>
            <w:r w:rsidRPr="000A5B5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А.</w:t>
            </w:r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Обязательственное</w:t>
            </w:r>
            <w:proofErr w:type="spellEnd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</w:t>
            </w:r>
            <w:proofErr w:type="gramStart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</w:t>
            </w:r>
            <w:proofErr w:type="spellStart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В. А. Белов. — Москва</w:t>
            </w:r>
            <w:proofErr w:type="gramStart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425 с. — (Бакалавр и магистр.</w:t>
            </w:r>
            <w:proofErr w:type="gramEnd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Модуль).</w:t>
            </w:r>
            <w:proofErr w:type="gramEnd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978-5-534-00213-3. — Текст</w:t>
            </w:r>
            <w:proofErr w:type="gramStart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0A5B5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https://biblio-online.ru/bcode/433988</w:t>
              </w:r>
            </w:hyperlink>
            <w:r w:rsidRPr="000A5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28.08.2019).</w:t>
            </w:r>
          </w:p>
          <w:p w:rsidR="001A4E48" w:rsidRPr="000A5B5A" w:rsidRDefault="001A4E48" w:rsidP="001A4E48">
            <w:pPr>
              <w:widowControl w:val="0"/>
              <w:tabs>
                <w:tab w:val="left" w:pos="5172"/>
              </w:tabs>
              <w:autoSpaceDE w:val="0"/>
              <w:autoSpaceDN w:val="0"/>
              <w:spacing w:before="24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0A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Программное</w:t>
            </w:r>
            <w:r w:rsidRPr="000A5B5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bidi="ru-RU"/>
              </w:rPr>
              <w:t xml:space="preserve"> </w:t>
            </w:r>
            <w:r w:rsidRPr="000A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обеспечение</w:t>
            </w:r>
          </w:p>
          <w:p w:rsidR="001A4E48" w:rsidRPr="001A4E48" w:rsidRDefault="001A4E48" w:rsidP="001A4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1A4E48" w:rsidRPr="001A4E48" w:rsidRDefault="001A4E48" w:rsidP="001A4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операционная система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Windows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Linux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1A4E48" w:rsidRPr="008E0B15" w:rsidRDefault="001A4E48" w:rsidP="001A4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пакет офисных программ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Microsoft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Libre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1A4E48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 информационно-телекоммуникационной сети «Интернет»: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http://fparf.ru/(Федеральная Палата Адвокатов РФ), https://notariat.ru/ruru/(Федеральная нотариальная палата). </w:t>
            </w:r>
          </w:p>
          <w:p w:rsidR="001A4E48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Информационно-справочные системы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E48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1. Справочная правовая система «Консультант Плюс». 2.Электронные каталоги научной библиотеки СГЮА – автоматизированная библиотечная программа ИРБИС. </w:t>
            </w:r>
          </w:p>
          <w:p w:rsidR="001A4E48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3. Ресурсы электронно-библиотечной системы «ИНФРА-М». 4. Виртуальная обучающая среда </w:t>
            </w:r>
            <w:proofErr w:type="spellStart"/>
            <w:r w:rsidRPr="001A4E48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4E48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1EE" w:rsidRPr="001A4E48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учебного процесса при необходимости используется аудитория, оборудованная мультимедийной техникой.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1A4E48" w:rsidRDefault="009F71EE" w:rsidP="001A4E48">
            <w:pPr>
              <w:tabs>
                <w:tab w:val="left" w:pos="275"/>
              </w:tabs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1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4E48"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задания, деловая игра, кейс-</w:t>
            </w:r>
            <w:proofErr w:type="spellStart"/>
            <w:r w:rsidR="001A4E48"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стади</w:t>
            </w:r>
            <w:proofErr w:type="spellEnd"/>
            <w:r w:rsidR="001A4E48"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, решение практических задач, круглый стол, дебаты, дискуссия, рефераты, доклады, составление правовых документов</w:t>
            </w:r>
          </w:p>
        </w:tc>
      </w:tr>
      <w:tr w:rsidR="009F71EE" w:rsidRPr="009F71EE" w:rsidTr="009F71EE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8E0B15" w:rsidRDefault="008E0B15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  <w:r w:rsidR="00D374AD">
              <w:rPr>
                <w:rFonts w:ascii="Times New Roman" w:eastAsia="Times New Roman" w:hAnsi="Times New Roman" w:cs="Times New Roman"/>
                <w:sz w:val="24"/>
                <w:szCs w:val="24"/>
              </w:rPr>
              <w:t>;экзамен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71EE" w:rsidRPr="009F71EE" w:rsidRDefault="009F71EE" w:rsidP="009F71EE">
      <w:pPr>
        <w:rPr>
          <w:rFonts w:ascii="Times New Roman" w:hAnsi="Times New Roman" w:cs="Times New Roman"/>
          <w:sz w:val="20"/>
          <w:szCs w:val="20"/>
        </w:rPr>
      </w:pPr>
    </w:p>
    <w:p w:rsidR="008A0427" w:rsidRPr="009F71EE" w:rsidRDefault="008A0427" w:rsidP="00EA1B77">
      <w:pPr>
        <w:jc w:val="both"/>
        <w:rPr>
          <w:rFonts w:ascii="Times New Roman" w:hAnsi="Times New Roman" w:cs="Times New Roman"/>
        </w:rPr>
      </w:pPr>
    </w:p>
    <w:sectPr w:rsidR="008A0427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9C"/>
    <w:multiLevelType w:val="multilevel"/>
    <w:tmpl w:val="7F9E6090"/>
    <w:lvl w:ilvl="0">
      <w:start w:val="11"/>
      <w:numFmt w:val="decimal"/>
      <w:lvlText w:val="%1."/>
      <w:lvlJc w:val="left"/>
      <w:pPr>
        <w:ind w:left="1575" w:hanging="463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171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88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59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9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0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0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1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6" w:hanging="56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EE"/>
    <w:rsid w:val="000552EB"/>
    <w:rsid w:val="00067100"/>
    <w:rsid w:val="000A5B5A"/>
    <w:rsid w:val="000B1981"/>
    <w:rsid w:val="001A4E48"/>
    <w:rsid w:val="00240632"/>
    <w:rsid w:val="004A2C78"/>
    <w:rsid w:val="007B0809"/>
    <w:rsid w:val="008A0427"/>
    <w:rsid w:val="008E0B15"/>
    <w:rsid w:val="009F71EE"/>
    <w:rsid w:val="00A978FE"/>
    <w:rsid w:val="00D374AD"/>
    <w:rsid w:val="00D5081D"/>
    <w:rsid w:val="00DC5CB8"/>
    <w:rsid w:val="00DF476B"/>
    <w:rsid w:val="00EA1B77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paragraph" w:styleId="3">
    <w:name w:val="heading 3"/>
    <w:basedOn w:val="a"/>
    <w:next w:val="a"/>
    <w:link w:val="30"/>
    <w:unhideWhenUsed/>
    <w:qFormat/>
    <w:rsid w:val="00D374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74A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rsid w:val="00D374A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paragraph" w:styleId="3">
    <w:name w:val="heading 3"/>
    <w:basedOn w:val="a"/>
    <w:next w:val="a"/>
    <w:link w:val="30"/>
    <w:unhideWhenUsed/>
    <w:qFormat/>
    <w:rsid w:val="00D374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74A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rsid w:val="00D374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61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453039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53039&amp;sr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Пользователь Windows</cp:lastModifiedBy>
  <cp:revision>7</cp:revision>
  <dcterms:created xsi:type="dcterms:W3CDTF">2019-09-18T08:14:00Z</dcterms:created>
  <dcterms:modified xsi:type="dcterms:W3CDTF">2019-09-18T08:52:00Z</dcterms:modified>
</cp:coreProperties>
</file>